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C4E4" w14:textId="03B125C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E03E32B" w14:textId="362EBD3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1DC398" w14:textId="22E5652E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556749B6" w14:textId="7683A733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3B258CC" w14:textId="3FB6F72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6935500A" w14:textId="3D4C6F8B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46B0A7" w14:textId="7777777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11E16F04" w14:textId="74F51AD2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r w:rsidRPr="00704CF6">
        <w:rPr>
          <w:rFonts w:cstheme="minorHAnsi"/>
          <w:b/>
          <w:bCs/>
          <w:sz w:val="48"/>
          <w:szCs w:val="48"/>
        </w:rPr>
        <w:t>PARECER DO COMITÊ DE INVESTIMENTOS</w:t>
      </w:r>
    </w:p>
    <w:p w14:paraId="7A12E205" w14:textId="66360C75" w:rsidR="006D066D" w:rsidRPr="00704CF6" w:rsidRDefault="00FD12D1" w:rsidP="006D066D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JUNHO</w:t>
      </w:r>
      <w:r w:rsidR="006D066D" w:rsidRPr="00704CF6">
        <w:rPr>
          <w:rFonts w:cstheme="minorHAnsi"/>
          <w:b/>
          <w:bCs/>
          <w:sz w:val="48"/>
          <w:szCs w:val="48"/>
        </w:rPr>
        <w:t>/2023</w:t>
      </w:r>
    </w:p>
    <w:p w14:paraId="7F2AB1FB" w14:textId="23FAF8A0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6E20D123" w14:textId="7C0422B3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5B417F3" w14:textId="2907A6E9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259B061F" w14:textId="4746A60F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7C5D5C45" w14:textId="63D4AE9B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3DFE421" w14:textId="77777777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5950945D" w14:textId="4A5CE0C9" w:rsidR="006D066D" w:rsidRPr="00704CF6" w:rsidRDefault="006D066D" w:rsidP="00E20723">
      <w:pPr>
        <w:jc w:val="center"/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t xml:space="preserve">Aprovado em </w:t>
      </w:r>
      <w:r w:rsidR="003D7479" w:rsidRPr="00704CF6">
        <w:rPr>
          <w:rFonts w:cstheme="minorHAnsi"/>
          <w:sz w:val="24"/>
          <w:szCs w:val="24"/>
        </w:rPr>
        <w:t>____</w:t>
      </w:r>
      <w:r w:rsidRPr="00704CF6">
        <w:rPr>
          <w:rFonts w:cstheme="minorHAnsi"/>
          <w:sz w:val="24"/>
          <w:szCs w:val="24"/>
        </w:rPr>
        <w:t xml:space="preserve">de </w:t>
      </w:r>
      <w:r w:rsidR="003D7479" w:rsidRPr="00704CF6">
        <w:rPr>
          <w:rFonts w:cstheme="minorHAnsi"/>
          <w:sz w:val="24"/>
          <w:szCs w:val="24"/>
        </w:rPr>
        <w:t>______</w:t>
      </w:r>
      <w:r w:rsidRPr="00704CF6">
        <w:rPr>
          <w:rFonts w:cstheme="minorHAnsi"/>
          <w:sz w:val="24"/>
          <w:szCs w:val="24"/>
        </w:rPr>
        <w:t>de 202</w:t>
      </w:r>
      <w:r w:rsidR="00B0550F" w:rsidRPr="00704CF6">
        <w:rPr>
          <w:rFonts w:cstheme="minorHAnsi"/>
          <w:sz w:val="24"/>
          <w:szCs w:val="24"/>
        </w:rPr>
        <w:t>3</w:t>
      </w:r>
      <w:r w:rsidRPr="00704CF6">
        <w:rPr>
          <w:rFonts w:cstheme="minorHAnsi"/>
          <w:sz w:val="24"/>
          <w:szCs w:val="24"/>
        </w:rPr>
        <w:t xml:space="preserve"> pelo Comitê de Investimentos</w:t>
      </w:r>
    </w:p>
    <w:p w14:paraId="48D66160" w14:textId="77777777" w:rsidR="00B9404D" w:rsidRPr="00704CF6" w:rsidRDefault="00B9404D" w:rsidP="00B9404D">
      <w:pPr>
        <w:jc w:val="center"/>
        <w:rPr>
          <w:rFonts w:cstheme="minorHAnsi"/>
          <w:sz w:val="28"/>
          <w:szCs w:val="28"/>
          <w:u w:val="single"/>
        </w:rPr>
      </w:pPr>
    </w:p>
    <w:bookmarkStart w:id="0" w:name="_Hlk118106960" w:displacedByCustomXml="next"/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77777777" w:rsidR="00B9404D" w:rsidRPr="00704CF6" w:rsidRDefault="00B9404D" w:rsidP="00B9404D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1235EECA" w14:textId="37CE8655" w:rsidR="002A591E" w:rsidRDefault="00B9404D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0742184" w:history="1">
            <w:r w:rsidR="002A591E" w:rsidRPr="00DF7903">
              <w:rPr>
                <w:rStyle w:val="Hyperlink"/>
                <w:rFonts w:cstheme="minorHAnsi"/>
                <w:noProof/>
              </w:rPr>
              <w:t>1.</w:t>
            </w:r>
            <w:r w:rsidR="002A591E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A591E" w:rsidRPr="00DF7903">
              <w:rPr>
                <w:rStyle w:val="Hyperlink"/>
                <w:rFonts w:cstheme="minorHAnsi"/>
                <w:noProof/>
              </w:rPr>
              <w:t>INTRODUÇÃO</w:t>
            </w:r>
            <w:r w:rsidR="002A591E">
              <w:rPr>
                <w:noProof/>
                <w:webHidden/>
              </w:rPr>
              <w:tab/>
            </w:r>
            <w:r w:rsidR="002A591E">
              <w:rPr>
                <w:noProof/>
                <w:webHidden/>
              </w:rPr>
              <w:fldChar w:fldCharType="begin"/>
            </w:r>
            <w:r w:rsidR="002A591E">
              <w:rPr>
                <w:noProof/>
                <w:webHidden/>
              </w:rPr>
              <w:instrText xml:space="preserve"> PAGEREF _Toc140742184 \h </w:instrText>
            </w:r>
            <w:r w:rsidR="002A591E">
              <w:rPr>
                <w:noProof/>
                <w:webHidden/>
              </w:rPr>
            </w:r>
            <w:r w:rsidR="002A591E">
              <w:rPr>
                <w:noProof/>
                <w:webHidden/>
              </w:rPr>
              <w:fldChar w:fldCharType="separate"/>
            </w:r>
            <w:r w:rsidR="002A591E">
              <w:rPr>
                <w:noProof/>
                <w:webHidden/>
              </w:rPr>
              <w:t>3</w:t>
            </w:r>
            <w:r w:rsidR="002A591E">
              <w:rPr>
                <w:noProof/>
                <w:webHidden/>
              </w:rPr>
              <w:fldChar w:fldCharType="end"/>
            </w:r>
          </w:hyperlink>
        </w:p>
        <w:p w14:paraId="3A168749" w14:textId="70D3EC0C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85" w:history="1">
            <w:r w:rsidRPr="00DF7903">
              <w:rPr>
                <w:rStyle w:val="Hyperlink"/>
                <w:rFonts w:cstheme="minorHAnsi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0D570" w14:textId="16B7783C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86" w:history="1">
            <w:r w:rsidRPr="00DF7903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ANÁLISE DO CENÁRIO ECONÔMICO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8DBF6" w14:textId="7E3E91FC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87" w:history="1">
            <w:r w:rsidRPr="00DF7903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EVOLUÇÃO DA EXECUÇÃO ORÇAMENTÁRIA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B67FF" w14:textId="5929D41D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88" w:history="1">
            <w:r w:rsidRPr="00DF7903">
              <w:rPr>
                <w:rStyle w:val="Hyperlink"/>
                <w:rFonts w:cstheme="minorHAnsi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ANÁLISE DA CARTEIRA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196BF" w14:textId="2BE3ECA5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89" w:history="1">
            <w:r w:rsidRPr="00DF7903">
              <w:rPr>
                <w:rStyle w:val="Hyperlink"/>
                <w:rFonts w:cstheme="minorHAnsi"/>
                <w:noProof/>
              </w:rPr>
              <w:t>5.1.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CARTEIRA DE INVESTIMENTOS CONSOLIDADA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119EC" w14:textId="38502F1C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0" w:history="1">
            <w:r w:rsidRPr="00DF7903">
              <w:rPr>
                <w:rStyle w:val="Hyperlink"/>
                <w:rFonts w:cstheme="minorHAnsi"/>
                <w:noProof/>
              </w:rPr>
              <w:t>5.2.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RETORNO SOBRE OS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C2204" w14:textId="3C6DCF5A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1" w:history="1">
            <w:r w:rsidRPr="00DF7903">
              <w:rPr>
                <w:rStyle w:val="Hyperlink"/>
                <w:rFonts w:cstheme="minorHAnsi"/>
                <w:noProof/>
              </w:rPr>
              <w:t>5.3.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1BE88" w14:textId="69CFED56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2" w:history="1">
            <w:r w:rsidRPr="00DF7903">
              <w:rPr>
                <w:rStyle w:val="Hyperlink"/>
                <w:rFonts w:cstheme="minorHAnsi"/>
                <w:noProof/>
              </w:rPr>
              <w:t>5.4.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74166" w14:textId="7E0D99D9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3" w:history="1">
            <w:r w:rsidRPr="00DF7903">
              <w:rPr>
                <w:rStyle w:val="Hyperlink"/>
                <w:rFonts w:cstheme="minorHAnsi"/>
                <w:noProof/>
              </w:rPr>
              <w:t>5.5.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EVOLUÇÃO PATRIMONIAL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49F4E" w14:textId="4F83E943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4" w:history="1">
            <w:r w:rsidRPr="00DF7903">
              <w:rPr>
                <w:rStyle w:val="Hyperlink"/>
                <w:rFonts w:cstheme="minorHAnsi"/>
                <w:noProof/>
              </w:rPr>
              <w:t>5.6.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01E20" w14:textId="6F08D2AC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5" w:history="1">
            <w:r w:rsidRPr="00DF7903">
              <w:rPr>
                <w:rStyle w:val="Hyperlink"/>
                <w:rFonts w:cstheme="minorHAnsi"/>
                <w:noProof/>
              </w:rPr>
              <w:t>5.7.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0713C" w14:textId="5D9E073D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6" w:history="1">
            <w:r w:rsidRPr="00DF7903">
              <w:rPr>
                <w:rStyle w:val="Hyperlink"/>
                <w:rFonts w:cstheme="minorHAnsi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4E52C" w14:textId="5A8CA26C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7" w:history="1">
            <w:r w:rsidRPr="00DF7903">
              <w:rPr>
                <w:rStyle w:val="Hyperlink"/>
                <w:rFonts w:cstheme="minorHAnsi"/>
                <w:noProof/>
              </w:rPr>
              <w:t>6.1.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RISCO DE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8C776" w14:textId="25BC3767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8" w:history="1">
            <w:r w:rsidRPr="00DF7903">
              <w:rPr>
                <w:rStyle w:val="Hyperlink"/>
                <w:rFonts w:cstheme="minorHAnsi"/>
                <w:noProof/>
              </w:rPr>
              <w:t>6.2.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RISCO DE CRÉDITO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8EB15" w14:textId="37FE81AF" w:rsidR="002A591E" w:rsidRDefault="002A591E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199" w:history="1">
            <w:r w:rsidRPr="00DF7903">
              <w:rPr>
                <w:rStyle w:val="Hyperlink"/>
                <w:rFonts w:cstheme="minorHAnsi"/>
                <w:noProof/>
              </w:rPr>
              <w:t>6.3.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RISCO DE LÍQUIDEZ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F7027" w14:textId="7871FC0B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200" w:history="1">
            <w:r w:rsidRPr="00DF7903">
              <w:rPr>
                <w:rStyle w:val="Hyperlink"/>
                <w:rFonts w:cstheme="minorHAnsi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E54BF" w14:textId="25090280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201" w:history="1">
            <w:r w:rsidRPr="00DF7903">
              <w:rPr>
                <w:rStyle w:val="Hyperlink"/>
                <w:rFonts w:cstheme="minorHAnsi"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5EF4A" w14:textId="7DDEA8BB" w:rsidR="002A591E" w:rsidRDefault="002A591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202" w:history="1">
            <w:r w:rsidRPr="00DF7903">
              <w:rPr>
                <w:rStyle w:val="Hyperlink"/>
                <w:rFonts w:cstheme="minorHAnsi"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PROCESSOS DE CREDENCIAMENTO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9C3CD" w14:textId="4BD576E0" w:rsidR="002A591E" w:rsidRDefault="002A591E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203" w:history="1">
            <w:r w:rsidRPr="00DF7903">
              <w:rPr>
                <w:rStyle w:val="Hyperlink"/>
                <w:rFonts w:cstheme="minorHAnsi"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PLANO DE CONTINGÊNCIA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941C0" w14:textId="3469D74D" w:rsidR="002A591E" w:rsidRDefault="002A591E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2204" w:history="1">
            <w:r w:rsidRPr="00DF7903">
              <w:rPr>
                <w:rStyle w:val="Hyperlink"/>
                <w:rFonts w:cstheme="minorHAnsi"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DF7903">
              <w:rPr>
                <w:rStyle w:val="Hyperlink"/>
                <w:rFonts w:cstheme="minorHAnsi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_Toc140742204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F58D8" w14:textId="7B9C3804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0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20EA75C6" w14:textId="77777777" w:rsidR="00B9404D" w:rsidRPr="00704CF6" w:rsidRDefault="00B9404D" w:rsidP="00B9404D">
      <w:pPr>
        <w:rPr>
          <w:rFonts w:cstheme="minorHAnsi"/>
        </w:rPr>
      </w:pP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" w:name="_Hlk118107437"/>
      <w:bookmarkStart w:id="2" w:name="_Toc140742184"/>
      <w:r w:rsidRPr="00704CF6">
        <w:rPr>
          <w:rFonts w:cstheme="minorHAnsi"/>
        </w:rPr>
        <w:t>INTRODUÇÃO</w:t>
      </w:r>
      <w:bookmarkEnd w:id="2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bookmarkEnd w:id="1"/>
    <w:p w14:paraId="3FCA22AB" w14:textId="77777777" w:rsidR="00B9404D" w:rsidRPr="00704CF6" w:rsidRDefault="00B9404D" w:rsidP="00B9404D">
      <w:pPr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3" w:name="_Hlk118107479"/>
      <w:bookmarkStart w:id="4" w:name="_Toc140742185"/>
      <w:r w:rsidRPr="00704CF6">
        <w:rPr>
          <w:rFonts w:cstheme="minorHAnsi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5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13817CBB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FD12D1">
              <w:rPr>
                <w:rFonts w:asciiTheme="minorHAnsi" w:hAnsiTheme="minorHAnsi" w:cstheme="minorHAnsi"/>
                <w:b w:val="0"/>
                <w:bCs w:val="0"/>
              </w:rPr>
              <w:t>junho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  <w:bookmarkEnd w:id="5"/>
    </w:tbl>
    <w:p w14:paraId="34D37384" w14:textId="77777777" w:rsidR="00B9404D" w:rsidRPr="00704CF6" w:rsidRDefault="00B9404D" w:rsidP="00B9404D">
      <w:pPr>
        <w:rPr>
          <w:rFonts w:cstheme="minorHAnsi"/>
        </w:rPr>
      </w:pPr>
    </w:p>
    <w:p w14:paraId="2F036B3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6" w:name="_Hlk118107774"/>
      <w:bookmarkStart w:id="7" w:name="_Toc140742186"/>
      <w:bookmarkEnd w:id="3"/>
      <w:r w:rsidRPr="00704CF6">
        <w:rPr>
          <w:rFonts w:cstheme="minorHAnsi"/>
        </w:rPr>
        <w:t>ANÁLISE DO CENÁRIO ECONÔMICO</w:t>
      </w:r>
      <w:bookmarkEnd w:id="7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B9404D">
      <w:pPr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8" w:name="_Toc140742187"/>
      <w:r w:rsidRPr="00704CF6">
        <w:rPr>
          <w:rFonts w:cstheme="minorHAnsi"/>
        </w:rPr>
        <w:t>EVOLUÇÃO DA EXECUÇÃO ORÇAMENTÁRIA</w:t>
      </w:r>
      <w:bookmarkEnd w:id="8"/>
    </w:p>
    <w:p w14:paraId="3C41753D" w14:textId="5A39B390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FD12D1">
        <w:rPr>
          <w:rFonts w:cstheme="minorHAnsi"/>
          <w:b/>
          <w:bCs/>
        </w:rPr>
        <w:t>junho</w:t>
      </w:r>
      <w:r w:rsidRPr="00704CF6">
        <w:rPr>
          <w:rFonts w:cstheme="minorHAnsi"/>
          <w:b/>
          <w:bCs/>
        </w:rPr>
        <w:t xml:space="preserve"> de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363B69F2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</w:p>
    <w:bookmarkEnd w:id="6"/>
    <w:p w14:paraId="205C3904" w14:textId="3572AA13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F35B1F" w14:textId="77777777" w:rsidR="00B9404D" w:rsidRPr="00704CF6" w:rsidRDefault="00B9404D" w:rsidP="00B9404D">
      <w:pPr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Hlk118108073"/>
      <w:bookmarkStart w:id="10" w:name="_Toc140742188"/>
      <w:r w:rsidRPr="00704CF6">
        <w:rPr>
          <w:rFonts w:cstheme="minorHAnsi"/>
        </w:rPr>
        <w:t>ANÁLISE DA CARTEIRA DE INVESTIMENTOS</w:t>
      </w:r>
      <w:bookmarkEnd w:id="10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1" w:name="_Toc140742189"/>
      <w:r w:rsidRPr="00704CF6">
        <w:rPr>
          <w:rFonts w:cstheme="minorHAnsi"/>
        </w:rPr>
        <w:t>CARTEIRA DE INVESTIMENTOS CONSOLIDADA</w:t>
      </w:r>
      <w:bookmarkEnd w:id="11"/>
    </w:p>
    <w:p w14:paraId="70739702" w14:textId="5C3CB40F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FD12D1">
        <w:rPr>
          <w:rFonts w:cstheme="minorHAnsi"/>
        </w:rPr>
        <w:t xml:space="preserve">sendo </w:t>
      </w:r>
      <w:r w:rsidR="00FD12D1" w:rsidRPr="00FD12D1">
        <w:rPr>
          <w:rFonts w:cstheme="minorHAnsi"/>
          <w:b/>
          <w:bCs/>
        </w:rPr>
        <w:t>75,33</w:t>
      </w:r>
      <w:r w:rsidR="003A0B78" w:rsidRPr="00FD12D1">
        <w:rPr>
          <w:rFonts w:cstheme="minorHAnsi"/>
          <w:b/>
          <w:bCs/>
        </w:rPr>
        <w:t>%</w:t>
      </w:r>
      <w:r w:rsidR="00FD12D1" w:rsidRPr="00FD12D1">
        <w:rPr>
          <w:rFonts w:cstheme="minorHAnsi"/>
          <w:b/>
          <w:bCs/>
        </w:rPr>
        <w:t xml:space="preserve"> e 24,67</w:t>
      </w:r>
      <w:r w:rsidR="003A0B78" w:rsidRPr="00FD12D1">
        <w:rPr>
          <w:rFonts w:cstheme="minorHAnsi"/>
          <w:b/>
          <w:bCs/>
        </w:rPr>
        <w:t>%</w:t>
      </w:r>
      <w:r w:rsidR="00FD12D1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>respectivamente, não ultrapassando o limite de 35% permitido pela Resolução CMN n°4.963/2021.</w:t>
      </w:r>
    </w:p>
    <w:p w14:paraId="1D751772" w14:textId="77777777" w:rsidR="00B9404D" w:rsidRPr="00704CF6" w:rsidRDefault="00B9404D" w:rsidP="00B9404D">
      <w:pPr>
        <w:rPr>
          <w:rFonts w:cstheme="minorHAnsi"/>
        </w:rPr>
      </w:pPr>
    </w:p>
    <w:bookmarkEnd w:id="9"/>
    <w:p w14:paraId="301143A9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6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376F7F31" w:rsidR="00B9404D" w:rsidRPr="00FD12D1" w:rsidRDefault="00FD12D1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D12D1">
              <w:rPr>
                <w:rFonts w:asciiTheme="minorHAnsi" w:hAnsiTheme="minorHAnsi" w:cstheme="minorHAnsi"/>
              </w:rPr>
              <w:t>E</w:t>
            </w:r>
            <w:r w:rsidR="00B9404D" w:rsidRPr="00FD12D1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0787FAD8" w:rsidR="00B9404D" w:rsidRPr="00FD12D1" w:rsidRDefault="00FD12D1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D12D1">
              <w:rPr>
                <w:rFonts w:asciiTheme="minorHAnsi" w:hAnsiTheme="minorHAnsi" w:cstheme="minorHAnsi"/>
              </w:rPr>
              <w:t>E</w:t>
            </w:r>
            <w:r w:rsidR="00B9404D" w:rsidRPr="00FD12D1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B9404D">
      <w:pPr>
        <w:rPr>
          <w:rFonts w:cstheme="minorHAnsi"/>
        </w:rPr>
      </w:pPr>
    </w:p>
    <w:p w14:paraId="2A5D9647" w14:textId="4BC671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FD12D1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FD12D1" w:rsidRDefault="00B9404D" w:rsidP="00FD12D1">
      <w:pPr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B9404D">
      <w:pPr>
        <w:rPr>
          <w:rFonts w:cstheme="minorHAnsi"/>
        </w:rPr>
      </w:pPr>
    </w:p>
    <w:p w14:paraId="66439966" w14:textId="024DD0EB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B9404D">
      <w:pPr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B9404D">
      <w:pPr>
        <w:rPr>
          <w:rFonts w:cstheme="minorHAnsi"/>
        </w:rPr>
      </w:pPr>
    </w:p>
    <w:p w14:paraId="18DD1AE9" w14:textId="77144C6D" w:rsidR="00FD12D1" w:rsidRDefault="00B9404D" w:rsidP="00E20723">
      <w:pPr>
        <w:jc w:val="both"/>
        <w:rPr>
          <w:rFonts w:cstheme="minorHAnsi"/>
        </w:rPr>
      </w:pPr>
      <w:r w:rsidRPr="00704CF6">
        <w:rPr>
          <w:rFonts w:cstheme="minorHAnsi"/>
        </w:rPr>
        <w:lastRenderedPageBreak/>
        <w:t>Ao analisarmos o enquadramento da carteira de investimento por segmento e fundo de investimentos, segundo os limites permitidos pela Resolução CMN nº 4.963/2021, informamos não haver desenquadramentos.</w:t>
      </w:r>
    </w:p>
    <w:p w14:paraId="07A6A348" w14:textId="77777777" w:rsidR="00B9404D" w:rsidRPr="00704CF6" w:rsidRDefault="00B9404D" w:rsidP="00B9404D">
      <w:pPr>
        <w:rPr>
          <w:rFonts w:cstheme="minorHAnsi"/>
        </w:rPr>
      </w:pPr>
    </w:p>
    <w:p w14:paraId="755E226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0742190"/>
      <w:r w:rsidRPr="00704CF6">
        <w:rPr>
          <w:rFonts w:cstheme="minorHAnsi"/>
        </w:rPr>
        <w:t>RETORNO SOBRE OS INVESTIMENTOS</w:t>
      </w:r>
      <w:bookmarkEnd w:id="12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69D8A069" w:rsidR="00B9404D" w:rsidRPr="00FD12D1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</w:t>
      </w:r>
      <w:r w:rsidRPr="00FD12D1">
        <w:rPr>
          <w:rFonts w:cstheme="minorHAnsi"/>
        </w:rPr>
        <w:t>acumulado do mês com um retorno</w:t>
      </w:r>
      <w:r w:rsidR="003A0B78" w:rsidRPr="00FD12D1">
        <w:rPr>
          <w:rFonts w:cstheme="minorHAnsi"/>
        </w:rPr>
        <w:t xml:space="preserve"> </w:t>
      </w:r>
      <w:r w:rsidRPr="00FD12D1">
        <w:rPr>
          <w:rFonts w:cstheme="minorHAnsi"/>
        </w:rPr>
        <w:t>de</w:t>
      </w:r>
      <w:r w:rsidRPr="00FD12D1">
        <w:rPr>
          <w:rFonts w:cstheme="minorHAnsi"/>
          <w:b/>
          <w:bCs/>
        </w:rPr>
        <w:t xml:space="preserve"> </w:t>
      </w:r>
      <w:r w:rsidR="00FD12D1" w:rsidRPr="00FD12D1">
        <w:rPr>
          <w:rFonts w:cstheme="minorHAnsi"/>
          <w:b/>
          <w:bCs/>
        </w:rPr>
        <w:t>2,29</w:t>
      </w:r>
      <w:r w:rsidR="003A0B78" w:rsidRPr="00FD12D1">
        <w:rPr>
          <w:rFonts w:cstheme="minorHAnsi"/>
          <w:b/>
          <w:bCs/>
        </w:rPr>
        <w:t>%</w:t>
      </w:r>
      <w:r w:rsidR="00B93C34" w:rsidRPr="00FD12D1">
        <w:rPr>
          <w:rFonts w:cstheme="minorHAnsi"/>
          <w:b/>
          <w:bCs/>
        </w:rPr>
        <w:t xml:space="preserve"> </w:t>
      </w:r>
      <w:r w:rsidR="00706A30" w:rsidRPr="00FD12D1">
        <w:rPr>
          <w:rFonts w:cstheme="minorHAnsi"/>
        </w:rPr>
        <w:t>representando</w:t>
      </w:r>
      <w:r w:rsidRPr="00FD12D1">
        <w:rPr>
          <w:rFonts w:cstheme="minorHAnsi"/>
        </w:rPr>
        <w:t xml:space="preserve"> um montante de </w:t>
      </w:r>
      <w:r w:rsidRPr="00FD12D1">
        <w:rPr>
          <w:rFonts w:cstheme="minorHAnsi"/>
          <w:b/>
          <w:bCs/>
        </w:rPr>
        <w:t xml:space="preserve">R$ </w:t>
      </w:r>
      <w:r w:rsidR="00FD12D1" w:rsidRPr="00FD12D1">
        <w:rPr>
          <w:rFonts w:cstheme="minorHAnsi"/>
          <w:b/>
          <w:bCs/>
        </w:rPr>
        <w:t>400.027,56</w:t>
      </w:r>
      <w:r w:rsidR="003A0B78" w:rsidRPr="00FD12D1">
        <w:rPr>
          <w:rFonts w:cstheme="minorHAnsi"/>
          <w:b/>
          <w:bCs/>
        </w:rPr>
        <w:t xml:space="preserve"> </w:t>
      </w:r>
      <w:r w:rsidRPr="00FD12D1">
        <w:rPr>
          <w:rFonts w:cstheme="minorHAnsi"/>
          <w:b/>
          <w:bCs/>
        </w:rPr>
        <w:t>(</w:t>
      </w:r>
      <w:r w:rsidR="00FD12D1">
        <w:rPr>
          <w:rFonts w:cstheme="minorHAnsi"/>
          <w:b/>
          <w:bCs/>
        </w:rPr>
        <w:t>Quatrocentos mil, vinte e sete reais e cinquenta e seis centavos</w:t>
      </w:r>
      <w:r w:rsidRPr="00FD12D1">
        <w:rPr>
          <w:rFonts w:cstheme="minorHAnsi"/>
          <w:b/>
          <w:bCs/>
        </w:rPr>
        <w:t>).</w:t>
      </w:r>
    </w:p>
    <w:p w14:paraId="7FEAF56B" w14:textId="059E6BAB" w:rsidR="00B9404D" w:rsidRPr="00704CF6" w:rsidRDefault="00B9404D" w:rsidP="00B9404D">
      <w:pPr>
        <w:jc w:val="both"/>
        <w:rPr>
          <w:rFonts w:cstheme="minorHAnsi"/>
        </w:rPr>
      </w:pPr>
      <w:r w:rsidRPr="00FD12D1">
        <w:rPr>
          <w:rFonts w:cstheme="minorHAnsi"/>
        </w:rPr>
        <w:t xml:space="preserve">Os fundos de investimentos classificados como renda variável apresentaram no mês um retorno de </w:t>
      </w:r>
      <w:r w:rsidR="00FD12D1" w:rsidRPr="00FD12D1">
        <w:rPr>
          <w:rFonts w:cstheme="minorHAnsi"/>
          <w:b/>
          <w:bCs/>
        </w:rPr>
        <w:t>7,04</w:t>
      </w:r>
      <w:r w:rsidR="00954041" w:rsidRPr="00FD12D1">
        <w:rPr>
          <w:rFonts w:cstheme="minorHAnsi"/>
          <w:b/>
          <w:bCs/>
        </w:rPr>
        <w:t xml:space="preserve">% </w:t>
      </w:r>
      <w:r w:rsidRPr="00FD12D1">
        <w:rPr>
          <w:rFonts w:cstheme="minorHAnsi"/>
        </w:rPr>
        <w:t xml:space="preserve">representando um montante de </w:t>
      </w:r>
      <w:r w:rsidRPr="00FD12D1">
        <w:rPr>
          <w:rFonts w:cstheme="minorHAnsi"/>
          <w:b/>
          <w:bCs/>
        </w:rPr>
        <w:t xml:space="preserve">R$ </w:t>
      </w:r>
      <w:r w:rsidR="00FD12D1" w:rsidRPr="00FD12D1">
        <w:rPr>
          <w:rFonts w:cstheme="minorHAnsi"/>
          <w:b/>
          <w:bCs/>
        </w:rPr>
        <w:t>384.800,73</w:t>
      </w:r>
      <w:r w:rsidR="00954041" w:rsidRPr="00FD12D1">
        <w:rPr>
          <w:rFonts w:cstheme="minorHAnsi"/>
          <w:b/>
          <w:bCs/>
        </w:rPr>
        <w:t xml:space="preserve"> </w:t>
      </w:r>
      <w:r w:rsidR="004B724E" w:rsidRPr="00FD12D1">
        <w:rPr>
          <w:rFonts w:cstheme="minorHAnsi"/>
          <w:b/>
          <w:bCs/>
        </w:rPr>
        <w:t>(</w:t>
      </w:r>
      <w:r w:rsidR="00FD12D1">
        <w:rPr>
          <w:rFonts w:cstheme="minorHAnsi"/>
          <w:b/>
          <w:bCs/>
        </w:rPr>
        <w:t>Trezentos e oitenta e quatro mil, oitocentos reais e setenta e três centavos</w:t>
      </w:r>
      <w:r w:rsidR="004B724E" w:rsidRPr="00FD12D1">
        <w:rPr>
          <w:rFonts w:cstheme="minorHAnsi"/>
          <w:b/>
          <w:bCs/>
        </w:rPr>
        <w:t>)</w:t>
      </w:r>
      <w:r w:rsidRPr="00FD12D1">
        <w:rPr>
          <w:rFonts w:cstheme="minorHAnsi"/>
          <w:b/>
          <w:bCs/>
        </w:rPr>
        <w:t>.</w:t>
      </w:r>
    </w:p>
    <w:p w14:paraId="38325F91" w14:textId="77777777" w:rsidR="00B9404D" w:rsidRPr="00704CF6" w:rsidRDefault="00B9404D" w:rsidP="00B9404D">
      <w:pPr>
        <w:rPr>
          <w:rFonts w:cstheme="minorHAnsi"/>
        </w:rPr>
      </w:pPr>
    </w:p>
    <w:p w14:paraId="00427FA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3" w:name="_Toc140742191"/>
      <w:r w:rsidRPr="00704CF6">
        <w:rPr>
          <w:rFonts w:cstheme="minorHAnsi"/>
        </w:rPr>
        <w:t>DISTRIBUIÇÃO DOS ATIVOS POR INSTITUIÇÕES FINANCEIRAS</w:t>
      </w:r>
      <w:bookmarkEnd w:id="13"/>
    </w:p>
    <w:p w14:paraId="17DE30DE" w14:textId="5A93EDA4" w:rsidR="00B9404D" w:rsidRPr="00704CF6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15C2308" w14:textId="77777777" w:rsidTr="005863D9">
        <w:trPr>
          <w:jc w:val="center"/>
        </w:trPr>
        <w:tc>
          <w:tcPr>
            <w:tcW w:w="4247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247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5863D9" w:rsidRPr="00704CF6" w14:paraId="06E7B032" w14:textId="77777777" w:rsidTr="005863D9">
        <w:trPr>
          <w:trHeight w:val="2776"/>
          <w:jc w:val="center"/>
        </w:trPr>
        <w:tc>
          <w:tcPr>
            <w:tcW w:w="4247" w:type="dxa"/>
          </w:tcPr>
          <w:p w14:paraId="24CCDBAF" w14:textId="77777777" w:rsidR="005863D9" w:rsidRPr="00704CF6" w:rsidRDefault="005863D9" w:rsidP="005863D9">
            <w:pPr>
              <w:jc w:val="center"/>
              <w:rPr>
                <w:noProof/>
              </w:rPr>
            </w:pPr>
          </w:p>
          <w:p w14:paraId="48A27C7A" w14:textId="77777777" w:rsidR="005863D9" w:rsidRPr="00704CF6" w:rsidRDefault="005863D9" w:rsidP="005863D9">
            <w:pPr>
              <w:jc w:val="center"/>
              <w:rPr>
                <w:b/>
                <w:bCs/>
                <w:noProof/>
              </w:rPr>
            </w:pPr>
          </w:p>
          <w:p w14:paraId="4D1ADAD0" w14:textId="2ADCFBEC" w:rsidR="005863D9" w:rsidRPr="00704CF6" w:rsidRDefault="00E20723" w:rsidP="005863D9">
            <w:pPr>
              <w:jc w:val="center"/>
              <w:rPr>
                <w:rFonts w:cstheme="minorHAnsi"/>
                <w:b/>
                <w:bCs/>
              </w:rPr>
            </w:pPr>
            <w:r w:rsidRPr="00E20723">
              <w:rPr>
                <w:rFonts w:cstheme="minorHAnsi"/>
                <w:b/>
                <w:bCs/>
              </w:rPr>
              <w:drawing>
                <wp:inline distT="0" distB="0" distL="0" distR="0" wp14:anchorId="7AB965F9" wp14:editId="1A6FCDA0">
                  <wp:extent cx="2338754" cy="2953924"/>
                  <wp:effectExtent l="0" t="0" r="4445" b="0"/>
                  <wp:docPr id="177263488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3488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538" cy="297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6797D1BF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004E1AB0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72A454CF" w:rsidR="005863D9" w:rsidRPr="00704CF6" w:rsidRDefault="00E20723" w:rsidP="005863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3C260F9" wp14:editId="58ADC8A7">
                  <wp:extent cx="2166522" cy="2207496"/>
                  <wp:effectExtent l="0" t="0" r="5715" b="2540"/>
                  <wp:docPr id="80773893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125" cy="2228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A78A" w14:textId="77777777" w:rsidR="005863D9" w:rsidRPr="00704CF6" w:rsidRDefault="005863D9" w:rsidP="00B9404D">
      <w:pPr>
        <w:rPr>
          <w:rFonts w:cstheme="minorHAnsi"/>
        </w:rPr>
      </w:pPr>
    </w:p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4" w:name="_Toc140742192"/>
      <w:r w:rsidRPr="00704CF6">
        <w:rPr>
          <w:rFonts w:cstheme="minorHAnsi"/>
        </w:rPr>
        <w:lastRenderedPageBreak/>
        <w:t>RETORNO DA CARTEIRA DE INVESTIMENTOS VERSOS A META DE RENTABILIDADE</w:t>
      </w:r>
      <w:bookmarkEnd w:id="14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5CC9F84F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050DF3B1" w14:textId="1C326A6E" w:rsidR="00FD12D1" w:rsidRDefault="00B9404D" w:rsidP="00E20723">
      <w:pPr>
        <w:jc w:val="both"/>
        <w:rPr>
          <w:rFonts w:cstheme="minorHAnsi"/>
        </w:rPr>
      </w:pPr>
      <w:r w:rsidRPr="00704CF6">
        <w:rPr>
          <w:rFonts w:cstheme="minorHAnsi"/>
        </w:rPr>
        <w:t>O atingimento da meta de rentabilid</w:t>
      </w:r>
      <w:r w:rsidRPr="003E1BD6">
        <w:rPr>
          <w:rFonts w:cstheme="minorHAnsi"/>
        </w:rPr>
        <w:t xml:space="preserve">ade no mês, representa </w:t>
      </w:r>
      <w:r w:rsidR="00FD12D1" w:rsidRPr="003E1BD6">
        <w:rPr>
          <w:rFonts w:cstheme="minorHAnsi"/>
          <w:b/>
          <w:bCs/>
        </w:rPr>
        <w:t>0,33</w:t>
      </w:r>
      <w:r w:rsidR="005863D9" w:rsidRPr="003E1BD6">
        <w:rPr>
          <w:rFonts w:cstheme="minorHAnsi"/>
          <w:b/>
          <w:bCs/>
        </w:rPr>
        <w:t xml:space="preserve">% </w:t>
      </w:r>
      <w:r w:rsidRPr="003E1BD6">
        <w:rPr>
          <w:rFonts w:cstheme="minorHAnsi"/>
        </w:rPr>
        <w:t xml:space="preserve">de meta de rentabilidade contra </w:t>
      </w:r>
      <w:r w:rsidR="00E20723" w:rsidRPr="00E20723">
        <w:rPr>
          <w:rFonts w:cstheme="minorHAnsi"/>
          <w:b/>
          <w:bCs/>
        </w:rPr>
        <w:t>3,42</w:t>
      </w:r>
      <w:r w:rsidR="00137100" w:rsidRPr="003E1BD6">
        <w:rPr>
          <w:rFonts w:cstheme="minorHAnsi"/>
          <w:b/>
          <w:bCs/>
        </w:rPr>
        <w:t xml:space="preserve">% </w:t>
      </w:r>
      <w:r w:rsidRPr="003E1BD6">
        <w:rPr>
          <w:rFonts w:cstheme="minorHAnsi"/>
        </w:rPr>
        <w:t xml:space="preserve">obtido. O acumulado no exercício até o mês de referência representa </w:t>
      </w:r>
      <w:r w:rsidR="00E20723" w:rsidRPr="00E20723">
        <w:rPr>
          <w:rFonts w:cstheme="minorHAnsi"/>
          <w:b/>
          <w:bCs/>
        </w:rPr>
        <w:t>6,94</w:t>
      </w:r>
      <w:r w:rsidR="00137100" w:rsidRPr="003E1BD6">
        <w:rPr>
          <w:rFonts w:cstheme="minorHAnsi"/>
          <w:b/>
          <w:bCs/>
        </w:rPr>
        <w:t>%</w:t>
      </w:r>
      <w:r w:rsidR="001E2C84" w:rsidRPr="003E1BD6">
        <w:rPr>
          <w:rFonts w:cstheme="minorHAnsi"/>
          <w:b/>
          <w:bCs/>
        </w:rPr>
        <w:t xml:space="preserve"> </w:t>
      </w:r>
      <w:r w:rsidRPr="003E1BD6">
        <w:rPr>
          <w:rFonts w:cstheme="minorHAnsi"/>
        </w:rPr>
        <w:t xml:space="preserve">contra </w:t>
      </w:r>
      <w:r w:rsidR="00E20723" w:rsidRPr="00E20723">
        <w:rPr>
          <w:rFonts w:cstheme="minorHAnsi"/>
          <w:b/>
          <w:bCs/>
        </w:rPr>
        <w:t>5,39</w:t>
      </w:r>
      <w:r w:rsidR="00137100" w:rsidRPr="003E1BD6">
        <w:rPr>
          <w:rFonts w:cstheme="minorHAnsi"/>
          <w:b/>
          <w:bCs/>
        </w:rPr>
        <w:t xml:space="preserve">% </w:t>
      </w:r>
      <w:r w:rsidRPr="003E1BD6">
        <w:rPr>
          <w:rFonts w:cstheme="minorHAnsi"/>
        </w:rPr>
        <w:t>da meta de rentabilidade.</w:t>
      </w:r>
    </w:p>
    <w:p w14:paraId="14DE2009" w14:textId="77777777" w:rsidR="00B9404D" w:rsidRPr="00704CF6" w:rsidRDefault="00B9404D" w:rsidP="00B9404D">
      <w:pPr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0742193"/>
      <w:r w:rsidRPr="00704CF6">
        <w:rPr>
          <w:rFonts w:cstheme="minorHAnsi"/>
        </w:rPr>
        <w:t>EVOLUÇÃO PATRIMONIAL</w:t>
      </w:r>
      <w:bookmarkEnd w:id="15"/>
    </w:p>
    <w:p w14:paraId="5AF372B5" w14:textId="717476E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líquido de </w:t>
      </w:r>
      <w:r w:rsidR="001E2C84" w:rsidRPr="003E1BD6">
        <w:rPr>
          <w:rFonts w:cstheme="minorHAnsi"/>
          <w:b/>
          <w:bCs/>
        </w:rPr>
        <w:t xml:space="preserve">R$ </w:t>
      </w:r>
      <w:r w:rsidR="00E20723" w:rsidRPr="00E20723">
        <w:rPr>
          <w:rFonts w:cstheme="minorHAnsi"/>
          <w:b/>
          <w:bCs/>
        </w:rPr>
        <w:t>21.973.564,94</w:t>
      </w:r>
      <w:r w:rsidR="001E2C84" w:rsidRPr="003E1BD6">
        <w:rPr>
          <w:rFonts w:cstheme="minorHAnsi"/>
          <w:b/>
          <w:bCs/>
        </w:rPr>
        <w:t xml:space="preserve"> (</w:t>
      </w:r>
      <w:r w:rsidR="00E20723">
        <w:rPr>
          <w:rFonts w:cstheme="minorHAnsi"/>
          <w:b/>
          <w:bCs/>
        </w:rPr>
        <w:t>Vinte e um milhões, novecentos e setenta e três mil, quinhentos e sessenta e quatro reais e noventa e quatro centavos</w:t>
      </w:r>
      <w:r w:rsidR="001E2C84" w:rsidRPr="003E1BD6">
        <w:rPr>
          <w:rFonts w:cstheme="minorHAnsi"/>
          <w:b/>
          <w:bCs/>
        </w:rPr>
        <w:t>).</w:t>
      </w:r>
    </w:p>
    <w:p w14:paraId="48846C96" w14:textId="468A417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E1BD6">
        <w:rPr>
          <w:rFonts w:cstheme="minorHAnsi"/>
        </w:rPr>
        <w:t xml:space="preserve">de </w:t>
      </w:r>
      <w:r w:rsidRPr="003E1BD6">
        <w:rPr>
          <w:rFonts w:cstheme="minorHAnsi"/>
          <w:b/>
          <w:bCs/>
        </w:rPr>
        <w:t xml:space="preserve">R$ </w:t>
      </w:r>
      <w:r w:rsidR="00E20723" w:rsidRPr="00E20723">
        <w:rPr>
          <w:rFonts w:cstheme="minorHAnsi"/>
          <w:b/>
          <w:bCs/>
        </w:rPr>
        <w:t>23.715.093,23</w:t>
      </w:r>
      <w:r w:rsidR="00995AE8" w:rsidRPr="003E1BD6">
        <w:rPr>
          <w:rFonts w:cstheme="minorHAnsi"/>
          <w:b/>
          <w:bCs/>
        </w:rPr>
        <w:t xml:space="preserve"> </w:t>
      </w:r>
      <w:r w:rsidRPr="003E1BD6">
        <w:rPr>
          <w:rFonts w:cstheme="minorHAnsi"/>
          <w:b/>
          <w:bCs/>
        </w:rPr>
        <w:t>(</w:t>
      </w:r>
      <w:r w:rsidR="00E20723">
        <w:rPr>
          <w:rFonts w:cstheme="minorHAnsi"/>
          <w:b/>
          <w:bCs/>
        </w:rPr>
        <w:t>Vinte e três milhões, setecentos e quinze mil, noventa e três reais e vinte e três centavos</w:t>
      </w:r>
      <w:r w:rsidR="001E2C84" w:rsidRPr="003E1BD6">
        <w:rPr>
          <w:rFonts w:cstheme="minorHAnsi"/>
          <w:b/>
          <w:bCs/>
        </w:rPr>
        <w:t>)</w:t>
      </w:r>
      <w:r w:rsidRPr="003E1BD6">
        <w:rPr>
          <w:rFonts w:cstheme="minorHAnsi"/>
          <w:b/>
          <w:bCs/>
        </w:rPr>
        <w:t>.</w:t>
      </w:r>
    </w:p>
    <w:p w14:paraId="7E2A1264" w14:textId="701655A1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de </w:t>
      </w:r>
      <w:r w:rsidRPr="003E1BD6">
        <w:rPr>
          <w:rFonts w:cstheme="minorHAnsi"/>
          <w:b/>
          <w:bCs/>
        </w:rPr>
        <w:t xml:space="preserve">R$ </w:t>
      </w:r>
      <w:r w:rsidR="00E20723" w:rsidRPr="00E20723">
        <w:rPr>
          <w:rFonts w:cstheme="minorHAnsi"/>
          <w:b/>
          <w:bCs/>
        </w:rPr>
        <w:t>1.741.528,29</w:t>
      </w:r>
      <w:r w:rsidR="001E2C84" w:rsidRPr="003E1BD6">
        <w:rPr>
          <w:rFonts w:cstheme="minorHAnsi"/>
          <w:b/>
          <w:bCs/>
        </w:rPr>
        <w:t xml:space="preserve"> </w:t>
      </w:r>
      <w:r w:rsidRPr="003E1BD6">
        <w:rPr>
          <w:rFonts w:cstheme="minorHAnsi"/>
          <w:b/>
          <w:bCs/>
        </w:rPr>
        <w:t>(</w:t>
      </w:r>
      <w:r w:rsidR="00E20723">
        <w:rPr>
          <w:rFonts w:cstheme="minorHAnsi"/>
          <w:b/>
          <w:bCs/>
        </w:rPr>
        <w:t>Um milhão, setecentos e quarenta e um mil, quinhentos e vinte e oito reais e vinte e nove centavos</w:t>
      </w:r>
      <w:r w:rsidRPr="003E1BD6">
        <w:rPr>
          <w:rFonts w:cstheme="minorHAnsi"/>
          <w:b/>
          <w:bCs/>
        </w:rPr>
        <w:t>).</w:t>
      </w:r>
    </w:p>
    <w:p w14:paraId="296D9161" w14:textId="77777777" w:rsidR="00B9404D" w:rsidRPr="00704CF6" w:rsidRDefault="00B9404D" w:rsidP="00B9404D">
      <w:pPr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0742194"/>
      <w:r w:rsidRPr="00704CF6">
        <w:rPr>
          <w:rFonts w:cstheme="minorHAnsi"/>
        </w:rPr>
        <w:t>RETORNO DOS INVESTIMENTOS APÓS AS MOVIMENTAÇÕES</w:t>
      </w:r>
      <w:bookmarkEnd w:id="16"/>
    </w:p>
    <w:p w14:paraId="2764E866" w14:textId="1128EDE9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No mês de referência, houve movimentações financeiras na importância total de:</w:t>
      </w:r>
    </w:p>
    <w:p w14:paraId="65344BA6" w14:textId="284B0F9B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t xml:space="preserve">R$ </w:t>
      </w:r>
      <w:r w:rsidR="00E20723" w:rsidRPr="00E20723">
        <w:rPr>
          <w:rFonts w:cstheme="minorHAnsi"/>
        </w:rPr>
        <w:t>1.514.000,00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aplicações e</w:t>
      </w:r>
    </w:p>
    <w:p w14:paraId="2246FACB" w14:textId="5D94FF71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t xml:space="preserve">R$ </w:t>
      </w:r>
      <w:r w:rsidR="00E20723" w:rsidRPr="00E20723">
        <w:rPr>
          <w:rFonts w:cstheme="minorHAnsi"/>
        </w:rPr>
        <w:t>557.300,00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resgates.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CF78834" w14:textId="0A31B27F" w:rsidR="00B0550F" w:rsidRPr="003E1BD6" w:rsidRDefault="00B9404D" w:rsidP="003E1BD6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  <w:b/>
          <w:bCs/>
        </w:rPr>
        <w:t xml:space="preserve">R$ </w:t>
      </w:r>
      <w:r w:rsidR="00E20723" w:rsidRPr="00E20723">
        <w:rPr>
          <w:rFonts w:cstheme="minorHAnsi"/>
          <w:b/>
          <w:bCs/>
        </w:rPr>
        <w:t>784.828,29</w:t>
      </w:r>
      <w:r w:rsidR="001E2C84" w:rsidRPr="00704CF6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retorno da carteira de investimentos no total, equivalente a </w:t>
      </w:r>
      <w:r w:rsidR="00E20723" w:rsidRPr="00E20723">
        <w:rPr>
          <w:rFonts w:cstheme="minorHAnsi"/>
          <w:b/>
          <w:bCs/>
        </w:rPr>
        <w:t>3,42</w:t>
      </w:r>
      <w:r w:rsidR="001E2C84" w:rsidRPr="003E1BD6">
        <w:rPr>
          <w:rFonts w:cstheme="minorHAnsi"/>
          <w:b/>
          <w:bCs/>
        </w:rPr>
        <w:t>%.</w:t>
      </w:r>
    </w:p>
    <w:p w14:paraId="208400F2" w14:textId="5529B029" w:rsidR="00E20723" w:rsidRDefault="00E20723">
      <w:pPr>
        <w:rPr>
          <w:rFonts w:cstheme="minorHAnsi"/>
        </w:rPr>
      </w:pPr>
      <w:r>
        <w:rPr>
          <w:rFonts w:cstheme="minorHAnsi"/>
        </w:rPr>
        <w:br w:type="page"/>
      </w:r>
    </w:p>
    <w:p w14:paraId="3B58098F" w14:textId="77777777" w:rsidR="00B9404D" w:rsidRPr="00704CF6" w:rsidRDefault="00B9404D" w:rsidP="00B9404D">
      <w:pPr>
        <w:rPr>
          <w:rFonts w:cstheme="minorHAnsi"/>
        </w:rPr>
      </w:pPr>
    </w:p>
    <w:p w14:paraId="2F30F042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7" w:name="_Toc140742195"/>
      <w:r w:rsidRPr="00704CF6">
        <w:rPr>
          <w:rFonts w:cstheme="minorHAnsi"/>
        </w:rPr>
        <w:t>AUTORIZAÇÃO DE APLICAÇÃO E RESGATE – APR</w:t>
      </w:r>
      <w:bookmarkEnd w:id="17"/>
    </w:p>
    <w:p w14:paraId="037DE4C1" w14:textId="4218034D" w:rsidR="00B9404D" w:rsidRPr="00704CF6" w:rsidRDefault="00312A1C" w:rsidP="002271DE">
      <w:pPr>
        <w:jc w:val="center"/>
        <w:rPr>
          <w:rFonts w:cstheme="minorHAnsi"/>
        </w:rPr>
      </w:pPr>
      <w:r w:rsidRPr="00312A1C">
        <w:drawing>
          <wp:inline distT="0" distB="0" distL="0" distR="0" wp14:anchorId="7C9A8B6E" wp14:editId="0876982F">
            <wp:extent cx="5400040" cy="1983740"/>
            <wp:effectExtent l="0" t="0" r="0" b="0"/>
            <wp:docPr id="13603260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6C40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70EE8633" w14:textId="77777777" w:rsidR="00B9404D" w:rsidRPr="00704CF6" w:rsidRDefault="00B9404D" w:rsidP="00B9404D">
      <w:pPr>
        <w:rPr>
          <w:rFonts w:cstheme="minorHAnsi"/>
        </w:rPr>
      </w:pP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8" w:name="_Toc140742196"/>
      <w:r w:rsidRPr="00704CF6">
        <w:rPr>
          <w:rFonts w:cstheme="minorHAnsi"/>
        </w:rPr>
        <w:t>ANÁLISE DE RISCO DA CARTEIRA DE INVESTIMENTOS</w:t>
      </w:r>
      <w:bookmarkEnd w:id="18"/>
    </w:p>
    <w:p w14:paraId="3D6CC1C1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</w:p>
    <w:p w14:paraId="1051DBB0" w14:textId="77777777" w:rsidR="00B9404D" w:rsidRPr="00704CF6" w:rsidRDefault="00B9404D" w:rsidP="00B9404D">
      <w:pPr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9" w:name="_Toc140742197"/>
      <w:r w:rsidRPr="00704CF6">
        <w:rPr>
          <w:rFonts w:cstheme="minorHAnsi"/>
        </w:rPr>
        <w:t>RISCO DE MERCADO</w:t>
      </w:r>
      <w:bookmarkEnd w:id="19"/>
    </w:p>
    <w:p w14:paraId="6A0BC30E" w14:textId="1C2FE506" w:rsidR="00B9404D" w:rsidRPr="003E1BD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Observa-se que o resultado do VaR referente a carteira </w:t>
      </w:r>
      <w:r w:rsidRPr="003E1BD6">
        <w:rPr>
          <w:rFonts w:cstheme="minorHAnsi"/>
        </w:rPr>
        <w:t xml:space="preserve">de investimentos é de </w:t>
      </w:r>
      <w:r w:rsidR="00312A1C" w:rsidRPr="00312A1C">
        <w:rPr>
          <w:rFonts w:cstheme="minorHAnsi"/>
          <w:b/>
          <w:bCs/>
        </w:rPr>
        <w:t>2,49</w:t>
      </w:r>
      <w:r w:rsidR="001E2C84" w:rsidRPr="003E1BD6">
        <w:rPr>
          <w:rFonts w:cstheme="minorHAnsi"/>
          <w:b/>
          <w:bCs/>
        </w:rPr>
        <w:t xml:space="preserve">% </w:t>
      </w:r>
      <w:r w:rsidRPr="003E1BD6">
        <w:rPr>
          <w:rFonts w:cstheme="minorHAnsi"/>
        </w:rPr>
        <w:t>para o mês de referência.</w:t>
      </w:r>
    </w:p>
    <w:p w14:paraId="6046E6B2" w14:textId="6EB3B2BC" w:rsidR="00B9404D" w:rsidRPr="00704CF6" w:rsidRDefault="00B9404D" w:rsidP="00B9404D">
      <w:pPr>
        <w:jc w:val="both"/>
        <w:rPr>
          <w:rFonts w:cstheme="minorHAnsi"/>
        </w:rPr>
      </w:pPr>
      <w:r w:rsidRPr="003E1BD6">
        <w:rPr>
          <w:rFonts w:cstheme="minorHAnsi"/>
        </w:rPr>
        <w:t xml:space="preserve">No que diz respeito ao resultado do VaR referente ao segmento de renda fixa, o valor é de </w:t>
      </w:r>
      <w:r w:rsidR="00312A1C" w:rsidRPr="00312A1C">
        <w:rPr>
          <w:rFonts w:cstheme="minorHAnsi"/>
          <w:b/>
          <w:bCs/>
        </w:rPr>
        <w:t>0,50</w:t>
      </w:r>
      <w:r w:rsidR="001E2C84" w:rsidRPr="003E1BD6">
        <w:rPr>
          <w:rFonts w:cstheme="minorHAnsi"/>
          <w:b/>
          <w:bCs/>
        </w:rPr>
        <w:t xml:space="preserve">% </w:t>
      </w:r>
      <w:r w:rsidRPr="003E1BD6">
        <w:rPr>
          <w:rFonts w:cstheme="minorHAnsi"/>
        </w:rPr>
        <w:t xml:space="preserve">no segmento de renda variável o valor é de </w:t>
      </w:r>
      <w:r w:rsidR="00312A1C" w:rsidRPr="00312A1C">
        <w:rPr>
          <w:rFonts w:cstheme="minorHAnsi"/>
          <w:b/>
          <w:bCs/>
        </w:rPr>
        <w:t>7,22</w:t>
      </w:r>
      <w:r w:rsidR="001E2C84" w:rsidRPr="003E1BD6">
        <w:rPr>
          <w:rFonts w:cstheme="minorHAnsi"/>
          <w:b/>
          <w:bCs/>
        </w:rPr>
        <w:t>%</w:t>
      </w:r>
      <w:r w:rsidR="003E1BD6" w:rsidRPr="003E1BD6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EDCB920" w:rsidR="00312A1C" w:rsidRDefault="00312A1C">
      <w:pPr>
        <w:rPr>
          <w:rFonts w:cstheme="minorHAnsi"/>
        </w:rPr>
      </w:pPr>
      <w:r>
        <w:rPr>
          <w:rFonts w:cstheme="minorHAnsi"/>
        </w:rPr>
        <w:br w:type="page"/>
      </w:r>
    </w:p>
    <w:p w14:paraId="74B6F0F1" w14:textId="77777777" w:rsidR="00B9404D" w:rsidRPr="00704CF6" w:rsidRDefault="00B9404D" w:rsidP="00B9404D">
      <w:pPr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0" w:name="_Toc140742198"/>
      <w:r w:rsidRPr="00704CF6">
        <w:rPr>
          <w:rFonts w:cstheme="minorHAnsi"/>
        </w:rPr>
        <w:t>RISCO DE CRÉDITO</w:t>
      </w:r>
      <w:bookmarkEnd w:id="20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7A0EA2B4" w14:textId="77777777" w:rsidR="00B9404D" w:rsidRPr="00704CF6" w:rsidRDefault="00B9404D" w:rsidP="00B9404D">
      <w:pPr>
        <w:rPr>
          <w:rFonts w:cstheme="minorHAnsi"/>
        </w:rPr>
      </w:pPr>
    </w:p>
    <w:p w14:paraId="1E84BB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0742199"/>
      <w:r w:rsidRPr="00704CF6">
        <w:rPr>
          <w:rFonts w:cstheme="minorHAnsi"/>
        </w:rPr>
        <w:t>RISCO DE LÍQUIDEZ</w:t>
      </w:r>
      <w:bookmarkEnd w:id="21"/>
    </w:p>
    <w:p w14:paraId="5C771629" w14:textId="025A567C" w:rsidR="00B0550F" w:rsidRPr="00704CF6" w:rsidRDefault="00B9404D" w:rsidP="003E1BD6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312A1C">
        <w:rPr>
          <w:rFonts w:cstheme="minorHAnsi"/>
          <w:b/>
          <w:bCs/>
        </w:rPr>
        <w:t>77,40</w:t>
      </w:r>
      <w:r w:rsidR="002271DE" w:rsidRPr="003E1BD6">
        <w:rPr>
          <w:rFonts w:cstheme="minorHAnsi"/>
          <w:b/>
          <w:bCs/>
        </w:rPr>
        <w:t>%</w:t>
      </w:r>
      <w:r w:rsidRPr="00704CF6">
        <w:rPr>
          <w:rFonts w:cstheme="minorHAnsi"/>
        </w:rPr>
        <w:t xml:space="preserve"> 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0220A284" w14:textId="77777777" w:rsidR="00B9404D" w:rsidRPr="00704CF6" w:rsidRDefault="00B9404D" w:rsidP="00B9404D">
      <w:pPr>
        <w:rPr>
          <w:rFonts w:cstheme="minorHAnsi"/>
        </w:rPr>
      </w:pP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2" w:name="_Toc140742200"/>
      <w:r w:rsidRPr="00704CF6">
        <w:rPr>
          <w:rFonts w:cstheme="minorHAnsi"/>
        </w:rPr>
        <w:t>ANÁLISE DE CARTEIRA POR PARTE DA CONSULTORIA DE INVESTIMENTOS</w:t>
      </w:r>
      <w:bookmarkEnd w:id="22"/>
    </w:p>
    <w:p w14:paraId="310E8F25" w14:textId="5CF5F5BF" w:rsidR="00B9404D" w:rsidRPr="00704CF6" w:rsidRDefault="00312A1C" w:rsidP="00B9404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53C195D8" w14:textId="77777777" w:rsidR="003E1BD6" w:rsidRPr="00704CF6" w:rsidRDefault="003E1BD6" w:rsidP="00B9404D">
      <w:pPr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3" w:name="_Toc140742201"/>
      <w:r w:rsidRPr="00704CF6">
        <w:rPr>
          <w:rFonts w:cstheme="minorHAnsi"/>
        </w:rPr>
        <w:t>ANÁLISE DE FUNDOS DE INVESTIMENTOS POR PARTE DA CONSULTORIA DE INVESTIMENTOS</w:t>
      </w:r>
      <w:bookmarkEnd w:id="23"/>
    </w:p>
    <w:p w14:paraId="2E19A16C" w14:textId="4B11876C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solicitados a Consultoria de Investimentos contratada Análises de Fundo de Investimentos.</w:t>
      </w:r>
    </w:p>
    <w:p w14:paraId="7ECA585C" w14:textId="7A851B1D" w:rsidR="00312A1C" w:rsidRDefault="00312A1C" w:rsidP="00312A1C">
      <w:pPr>
        <w:pStyle w:val="PargrafodaLista"/>
        <w:numPr>
          <w:ilvl w:val="0"/>
          <w:numId w:val="2"/>
        </w:numPr>
        <w:rPr>
          <w:rFonts w:cstheme="minorHAnsi"/>
          <w:b/>
          <w:bCs/>
        </w:rPr>
      </w:pPr>
      <w:r w:rsidRPr="00312A1C">
        <w:rPr>
          <w:rFonts w:cstheme="minorHAnsi"/>
          <w:b/>
          <w:bCs/>
        </w:rPr>
        <w:t>FINACAP MAURITSSTAD FI AÇÕES</w:t>
      </w:r>
    </w:p>
    <w:p w14:paraId="7DF99FDD" w14:textId="7E1B0AEF" w:rsidR="002A591E" w:rsidRPr="002A591E" w:rsidRDefault="002A591E" w:rsidP="002A591E">
      <w:pPr>
        <w:rPr>
          <w:rFonts w:cstheme="minorHAnsi"/>
        </w:rPr>
      </w:pPr>
      <w:r w:rsidRPr="002A591E">
        <w:rPr>
          <w:rFonts w:cstheme="minorHAnsi"/>
        </w:rPr>
        <w:t>O segmento é atrativo pois possui estratégia de longo prazo, sendo compatível com os objetivos do RPPS. Diante da análise dos</w:t>
      </w:r>
      <w:r>
        <w:rPr>
          <w:rFonts w:cstheme="minorHAnsi"/>
        </w:rPr>
        <w:t xml:space="preserve"> </w:t>
      </w:r>
      <w:r w:rsidRPr="002A591E">
        <w:rPr>
          <w:rFonts w:cstheme="minorHAnsi"/>
        </w:rPr>
        <w:t xml:space="preserve">fundamentos do fundo e do contexto </w:t>
      </w:r>
      <w:proofErr w:type="gramStart"/>
      <w:r w:rsidRPr="002A591E">
        <w:rPr>
          <w:rFonts w:cstheme="minorHAnsi"/>
        </w:rPr>
        <w:t>do mesmo</w:t>
      </w:r>
      <w:proofErr w:type="gramEnd"/>
      <w:r w:rsidRPr="002A591E">
        <w:rPr>
          <w:rFonts w:cstheme="minorHAnsi"/>
        </w:rPr>
        <w:t xml:space="preserve"> na carteira do RPPS, sugerimos o aporte no fundo, bem como o aumento da</w:t>
      </w:r>
      <w:r>
        <w:rPr>
          <w:rFonts w:cstheme="minorHAnsi"/>
        </w:rPr>
        <w:t xml:space="preserve"> </w:t>
      </w:r>
      <w:r w:rsidRPr="002A591E">
        <w:rPr>
          <w:rFonts w:cstheme="minorHAnsi"/>
        </w:rPr>
        <w:t>exposição em fundos desse segmento. Vale ressaltar que o fundo está aderente à política de investimentos do RPPS com margem para</w:t>
      </w:r>
      <w:r>
        <w:rPr>
          <w:rFonts w:cstheme="minorHAnsi"/>
        </w:rPr>
        <w:t xml:space="preserve"> </w:t>
      </w:r>
      <w:r w:rsidRPr="002A591E">
        <w:rPr>
          <w:rFonts w:cstheme="minorHAnsi"/>
        </w:rPr>
        <w:t>exposição em até R$ 351.516,58 no Artigo 8º, Inciso I.</w:t>
      </w:r>
    </w:p>
    <w:p w14:paraId="1F2B3884" w14:textId="6E7F5F05" w:rsidR="00312A1C" w:rsidRPr="002A591E" w:rsidRDefault="002A591E" w:rsidP="002A591E">
      <w:pPr>
        <w:rPr>
          <w:rFonts w:cstheme="minorHAnsi"/>
        </w:rPr>
      </w:pPr>
      <w:r w:rsidRPr="002A591E">
        <w:rPr>
          <w:rFonts w:cstheme="minorHAnsi"/>
        </w:rPr>
        <w:t>Caso o RPPS opte pelo investimento, recomendamos que os recursos sejam resgatados do segmento de Curto Prazo</w:t>
      </w:r>
      <w:r>
        <w:rPr>
          <w:rFonts w:cstheme="minorHAnsi"/>
        </w:rPr>
        <w:t>.</w:t>
      </w:r>
    </w:p>
    <w:p w14:paraId="28528ACC" w14:textId="77777777" w:rsidR="00B9404D" w:rsidRPr="00704CF6" w:rsidRDefault="00B9404D" w:rsidP="00B9404D">
      <w:pPr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0742202"/>
      <w:r w:rsidRPr="00704CF6">
        <w:rPr>
          <w:rFonts w:cstheme="minorHAnsi"/>
        </w:rPr>
        <w:t>PROCESSOS DE CREDENCIAMENTO</w:t>
      </w:r>
      <w:bookmarkEnd w:id="24"/>
    </w:p>
    <w:p w14:paraId="761CE7E7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 No mês de referência não houve o credenciamento de novas instituição.</w:t>
      </w:r>
    </w:p>
    <w:p w14:paraId="4DF96EBF" w14:textId="276D27BF" w:rsidR="002A591E" w:rsidRDefault="002A591E">
      <w:pPr>
        <w:rPr>
          <w:rFonts w:cstheme="minorHAnsi"/>
        </w:rPr>
      </w:pPr>
      <w:r>
        <w:rPr>
          <w:rFonts w:cstheme="minorHAnsi"/>
        </w:rPr>
        <w:br w:type="page"/>
      </w:r>
    </w:p>
    <w:p w14:paraId="219A97A4" w14:textId="77777777" w:rsidR="00B9404D" w:rsidRPr="00704CF6" w:rsidRDefault="00B9404D" w:rsidP="00B9404D">
      <w:pPr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0742203"/>
      <w:r w:rsidRPr="00704CF6">
        <w:rPr>
          <w:rFonts w:cstheme="minorHAnsi"/>
        </w:rPr>
        <w:t>PLANO DE CONTINGÊNCIA</w:t>
      </w:r>
      <w:bookmarkEnd w:id="25"/>
    </w:p>
    <w:p w14:paraId="3467B253" w14:textId="2E8ED2C8" w:rsidR="003E1BD6" w:rsidRDefault="00B9404D" w:rsidP="002A591E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0BE5E594" w14:textId="77777777" w:rsidR="00B771A4" w:rsidRPr="00704CF6" w:rsidRDefault="00B771A4" w:rsidP="00B9404D">
      <w:pPr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0742204"/>
      <w:r w:rsidRPr="00704CF6">
        <w:rPr>
          <w:rFonts w:cstheme="minorHAnsi"/>
        </w:rPr>
        <w:t>CONSIDERAÇÕES FINAIS</w:t>
      </w:r>
      <w:bookmarkEnd w:id="26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6334E32A" w14:textId="77777777" w:rsidR="00B9404D" w:rsidRPr="00704CF6" w:rsidRDefault="00B9404D" w:rsidP="00B9404D">
      <w:pPr>
        <w:jc w:val="both"/>
        <w:rPr>
          <w:rFonts w:cstheme="minorHAnsi"/>
          <w:b/>
          <w:bCs/>
        </w:rPr>
      </w:pPr>
      <w:r w:rsidRPr="00704CF6">
        <w:rPr>
          <w:rFonts w:cstheme="minorHAnsi"/>
          <w:b/>
          <w:bCs/>
          <w:highlight w:val="red"/>
        </w:rPr>
        <w:t>(TODO OS TEXTOS DISPOSTOS NESTE PARECER E PRINCIPALMENTE DA POSIÇÃO DA CARTEIRA DESCRITO NAS DISPOSIÇÕES FINAIS, É MERAMENTE SUGESTIVO. FICA A CRITÉRIO DO RPPS MENCIONAR OS FATOS EM ATENDIMENTO AS DELIBERAÇÕES DO COMITÊ DE INVESTIMENTOS).</w:t>
      </w:r>
    </w:p>
    <w:p w14:paraId="76A88B85" w14:textId="77777777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</w:p>
    <w:sectPr w:rsidR="006D066D" w:rsidRPr="00704C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5EB3" w14:textId="77777777" w:rsidR="00C74ABF" w:rsidRDefault="00C74ABF" w:rsidP="006D066D">
      <w:pPr>
        <w:spacing w:after="0" w:line="240" w:lineRule="auto"/>
      </w:pPr>
      <w:r>
        <w:separator/>
      </w:r>
    </w:p>
  </w:endnote>
  <w:endnote w:type="continuationSeparator" w:id="0">
    <w:p w14:paraId="5AA3839C" w14:textId="77777777" w:rsidR="00C74ABF" w:rsidRDefault="00C74ABF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2491" w14:textId="77777777" w:rsidR="00D370D0" w:rsidRDefault="00D370D0" w:rsidP="00E20723">
    <w:pPr>
      <w:pStyle w:val="Rodap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AD680" wp14:editId="2A33E31D">
              <wp:simplePos x="0" y="0"/>
              <wp:positionH relativeFrom="column">
                <wp:posOffset>30480</wp:posOffset>
              </wp:positionH>
              <wp:positionV relativeFrom="paragraph">
                <wp:posOffset>38100</wp:posOffset>
              </wp:positionV>
              <wp:extent cx="5986780" cy="0"/>
              <wp:effectExtent l="11430" t="9525" r="1206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F1B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.4pt;margin-top:3pt;width:47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" strokecolor="red" strokeweight="1.5pt"/>
          </w:pict>
        </mc:Fallback>
      </mc:AlternateContent>
    </w: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C97B1" wp14:editId="49743811">
              <wp:simplePos x="0" y="0"/>
              <wp:positionH relativeFrom="column">
                <wp:posOffset>31750</wp:posOffset>
              </wp:positionH>
              <wp:positionV relativeFrom="paragraph">
                <wp:posOffset>101600</wp:posOffset>
              </wp:positionV>
              <wp:extent cx="5986780" cy="0"/>
              <wp:effectExtent l="22225" t="25400" r="2032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27217" id="Conector de Seta Reta 2" o:spid="_x0000_s1026" type="#_x0000_t32" style="position:absolute;margin-left:2.5pt;margin-top:8pt;width:47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" strokecolor="#002060" strokeweight="3pt"/>
          </w:pict>
        </mc:Fallback>
      </mc:AlternateContent>
    </w:r>
  </w:p>
  <w:p w14:paraId="21DEAEF6" w14:textId="77777777" w:rsidR="00D370D0" w:rsidRPr="00C317DC" w:rsidRDefault="00D370D0" w:rsidP="00E20723">
    <w:pPr>
      <w:pStyle w:val="Rodap"/>
      <w:jc w:val="center"/>
      <w:rPr>
        <w:rFonts w:ascii="Calibri" w:hAnsi="Calibri" w:cs="Calibri"/>
        <w:sz w:val="20"/>
      </w:rPr>
    </w:pPr>
    <w:r w:rsidRPr="00526148">
      <w:rPr>
        <w:rFonts w:ascii="Calibri" w:hAnsi="Calibri" w:cs="Calibri"/>
        <w:sz w:val="20"/>
      </w:rPr>
      <w:t xml:space="preserve">Avenida Bolivar, 395 -CEP 87.225-000   -   Fone: (44) 3635-1298 - </w:t>
    </w:r>
    <w:hyperlink r:id="rId1" w:history="1">
      <w:r w:rsidRPr="00211A05">
        <w:rPr>
          <w:rStyle w:val="Hyperlink"/>
          <w:rFonts w:ascii="Calibri" w:hAnsi="Calibri" w:cs="Calibri"/>
          <w:sz w:val="20"/>
        </w:rPr>
        <w:t>japuraprev@gmail.com</w:t>
      </w:r>
    </w:hyperlink>
    <w:r>
      <w:rPr>
        <w:rFonts w:ascii="Calibri" w:hAnsi="Calibri" w:cs="Calibri"/>
        <w:sz w:val="20"/>
      </w:rPr>
      <w:t xml:space="preserve"> - Japurá - Paraná</w:t>
    </w:r>
  </w:p>
  <w:p w14:paraId="30409746" w14:textId="2D63D9A1" w:rsidR="006D066D" w:rsidRDefault="006D066D" w:rsidP="00D370D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330A" w14:textId="77777777" w:rsidR="00C74ABF" w:rsidRDefault="00C74ABF" w:rsidP="006D066D">
      <w:pPr>
        <w:spacing w:after="0" w:line="240" w:lineRule="auto"/>
      </w:pPr>
      <w:r>
        <w:separator/>
      </w:r>
    </w:p>
  </w:footnote>
  <w:footnote w:type="continuationSeparator" w:id="0">
    <w:p w14:paraId="2DA403DA" w14:textId="77777777" w:rsidR="00C74ABF" w:rsidRDefault="00C74ABF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B829" w14:textId="77777777" w:rsidR="00D370D0" w:rsidRPr="00C053FD" w:rsidRDefault="00D370D0" w:rsidP="00D370D0">
    <w:pPr>
      <w:spacing w:line="360" w:lineRule="auto"/>
      <w:ind w:left="1416"/>
      <w:jc w:val="center"/>
      <w:rPr>
        <w:rFonts w:ascii="Calibri" w:hAnsi="Calibri" w:cs="Calibri"/>
        <w:b/>
        <w:sz w:val="28"/>
        <w:szCs w:val="28"/>
      </w:rPr>
    </w:pPr>
    <w:r w:rsidRPr="00C053FD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26C3E9E" wp14:editId="0DAAD7AB">
          <wp:simplePos x="0" y="0"/>
          <wp:positionH relativeFrom="column">
            <wp:posOffset>-638175</wp:posOffset>
          </wp:positionH>
          <wp:positionV relativeFrom="paragraph">
            <wp:posOffset>-160020</wp:posOffset>
          </wp:positionV>
          <wp:extent cx="1432560" cy="1112270"/>
          <wp:effectExtent l="0" t="0" r="0" b="0"/>
          <wp:wrapNone/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89"/>
                  <a:stretch/>
                </pic:blipFill>
                <pic:spPr bwMode="auto">
                  <a:xfrm>
                    <a:off x="0" y="0"/>
                    <a:ext cx="1432560" cy="111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053FD">
      <w:rPr>
        <w:rFonts w:ascii="Calibri" w:hAnsi="Calibri" w:cs="Calibri"/>
        <w:b/>
        <w:sz w:val="28"/>
        <w:szCs w:val="28"/>
      </w:rPr>
      <w:t>INSTITUTO DE PREVIDÊNCIA DOS SERVIDORES PÚBLICOS DO       MUNICÍPIO DE JAPURÁ</w:t>
    </w:r>
  </w:p>
  <w:p w14:paraId="22E9E7BF" w14:textId="77777777" w:rsidR="00D370D0" w:rsidRDefault="00D370D0" w:rsidP="00D370D0">
    <w:pPr>
      <w:ind w:firstLine="1418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                </w:t>
    </w:r>
    <w:r w:rsidRPr="00143EB7">
      <w:rPr>
        <w:rFonts w:ascii="Calibri" w:hAnsi="Calibri" w:cs="Calibri"/>
        <w:b/>
        <w:sz w:val="24"/>
      </w:rPr>
      <w:t>CNPJ – 05.220.745/0001-80</w:t>
    </w:r>
  </w:p>
  <w:p w14:paraId="69999EB2" w14:textId="1833D914" w:rsidR="006D066D" w:rsidRPr="006D066D" w:rsidRDefault="006D066D" w:rsidP="006D066D">
    <w:pPr>
      <w:pStyle w:val="Cabealho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950"/>
    <w:multiLevelType w:val="hybridMultilevel"/>
    <w:tmpl w:val="F808E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6382267">
    <w:abstractNumId w:val="2"/>
  </w:num>
  <w:num w:numId="2" w16cid:durableId="1042940145">
    <w:abstractNumId w:val="0"/>
  </w:num>
  <w:num w:numId="3" w16cid:durableId="159319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25E1B"/>
    <w:rsid w:val="0003550B"/>
    <w:rsid w:val="000E0500"/>
    <w:rsid w:val="00137100"/>
    <w:rsid w:val="001E2C84"/>
    <w:rsid w:val="00204694"/>
    <w:rsid w:val="00212F35"/>
    <w:rsid w:val="002271DE"/>
    <w:rsid w:val="00273EDB"/>
    <w:rsid w:val="002A591E"/>
    <w:rsid w:val="00312A1C"/>
    <w:rsid w:val="003A0B78"/>
    <w:rsid w:val="003B1BAE"/>
    <w:rsid w:val="003D7479"/>
    <w:rsid w:val="003E1BD6"/>
    <w:rsid w:val="0042028C"/>
    <w:rsid w:val="004208DF"/>
    <w:rsid w:val="004B724E"/>
    <w:rsid w:val="004D59B2"/>
    <w:rsid w:val="005518D3"/>
    <w:rsid w:val="0055295D"/>
    <w:rsid w:val="00554196"/>
    <w:rsid w:val="005863D9"/>
    <w:rsid w:val="006D066D"/>
    <w:rsid w:val="00700D67"/>
    <w:rsid w:val="007026C7"/>
    <w:rsid w:val="00704CF6"/>
    <w:rsid w:val="00706A30"/>
    <w:rsid w:val="0073473B"/>
    <w:rsid w:val="00896CCC"/>
    <w:rsid w:val="008E461D"/>
    <w:rsid w:val="00954041"/>
    <w:rsid w:val="00995AE8"/>
    <w:rsid w:val="00B0550F"/>
    <w:rsid w:val="00B6697A"/>
    <w:rsid w:val="00B771A4"/>
    <w:rsid w:val="00B93C34"/>
    <w:rsid w:val="00B9404D"/>
    <w:rsid w:val="00BB2D16"/>
    <w:rsid w:val="00BB3D57"/>
    <w:rsid w:val="00BD3CDC"/>
    <w:rsid w:val="00C201A2"/>
    <w:rsid w:val="00C74ABF"/>
    <w:rsid w:val="00D370D0"/>
    <w:rsid w:val="00D73648"/>
    <w:rsid w:val="00E02526"/>
    <w:rsid w:val="00E20723"/>
    <w:rsid w:val="00F04049"/>
    <w:rsid w:val="00F672A8"/>
    <w:rsid w:val="00F86479"/>
    <w:rsid w:val="00FA6D01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urapre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1781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Cleber Zaniquelli</cp:lastModifiedBy>
  <cp:revision>12</cp:revision>
  <dcterms:created xsi:type="dcterms:W3CDTF">2023-03-29T20:13:00Z</dcterms:created>
  <dcterms:modified xsi:type="dcterms:W3CDTF">2023-07-20T13:42:00Z</dcterms:modified>
</cp:coreProperties>
</file>